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F7DF" w14:textId="77777777" w:rsidR="00D7683F" w:rsidRDefault="00D7683F" w:rsidP="00D7683F">
      <w:pPr>
        <w:jc w:val="center"/>
      </w:pPr>
      <w:r>
        <w:rPr>
          <w:noProof/>
          <w:lang w:eastAsia="en-AU"/>
        </w:rPr>
        <w:drawing>
          <wp:anchor distT="0" distB="0" distL="114300" distR="114300" simplePos="0" relativeHeight="251659264" behindDoc="1" locked="0" layoutInCell="1" allowOverlap="1" wp14:anchorId="517C1991" wp14:editId="20EDA46C">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E60F117" w14:textId="77777777" w:rsidR="00D7683F" w:rsidRDefault="00D7683F" w:rsidP="00D7683F"/>
    <w:p w14:paraId="780DD957" w14:textId="77777777" w:rsidR="00D7683F" w:rsidRPr="002C0B66" w:rsidRDefault="00D7683F" w:rsidP="00D7683F">
      <w:pPr>
        <w:pStyle w:val="BodyText"/>
        <w:jc w:val="center"/>
        <w:rPr>
          <w:b/>
          <w:noProof/>
          <w:color w:val="000090"/>
          <w:szCs w:val="22"/>
        </w:rPr>
      </w:pPr>
    </w:p>
    <w:p w14:paraId="4657E494" w14:textId="351570F1" w:rsidR="00D7683F" w:rsidRPr="00732FEE" w:rsidRDefault="00AD0415" w:rsidP="00D7683F">
      <w:pPr>
        <w:pStyle w:val="BodyText"/>
        <w:jc w:val="center"/>
        <w:rPr>
          <w:b/>
          <w:noProof/>
          <w:color w:val="000090"/>
          <w:sz w:val="50"/>
          <w:szCs w:val="50"/>
        </w:rPr>
      </w:pPr>
      <w:bookmarkStart w:id="0" w:name="_GoBack"/>
      <w:r>
        <w:rPr>
          <w:b/>
          <w:noProof/>
          <w:color w:val="000090"/>
          <w:sz w:val="50"/>
          <w:szCs w:val="50"/>
        </w:rPr>
        <w:t>Review of Board Member Capabilities</w:t>
      </w:r>
      <w:r w:rsidR="0056626C">
        <w:rPr>
          <w:b/>
          <w:noProof/>
          <w:color w:val="000090"/>
          <w:sz w:val="50"/>
          <w:szCs w:val="50"/>
        </w:rPr>
        <w:t xml:space="preserve"> </w:t>
      </w:r>
      <w:r w:rsidR="00D7683F" w:rsidRPr="00732FEE">
        <w:rPr>
          <w:b/>
          <w:noProof/>
          <w:color w:val="000090"/>
          <w:sz w:val="50"/>
          <w:szCs w:val="50"/>
        </w:rPr>
        <w:t xml:space="preserve">Template </w:t>
      </w:r>
    </w:p>
    <w:bookmarkEnd w:id="0"/>
    <w:p w14:paraId="34E8D2EA" w14:textId="16BD8F34" w:rsidR="00D7683F" w:rsidRDefault="00880D1C" w:rsidP="00D7683F">
      <w:pPr>
        <w:pStyle w:val="BodyText"/>
        <w:jc w:val="center"/>
        <w:rPr>
          <w:b/>
        </w:rPr>
      </w:pPr>
      <w:r>
        <w:rPr>
          <w:b/>
        </w:rPr>
        <w:t>April</w:t>
      </w:r>
      <w:r w:rsidR="00D7683F"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D7683F" w:rsidRPr="00510853" w14:paraId="2A38C65B" w14:textId="77777777" w:rsidTr="00F169AF">
        <w:tc>
          <w:tcPr>
            <w:tcW w:w="2303" w:type="dxa"/>
            <w:shd w:val="clear" w:color="auto" w:fill="E0E0E0"/>
          </w:tcPr>
          <w:p w14:paraId="62F029F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32876D42"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1077461C"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4AC95E7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D7683F" w:rsidRPr="00510853" w14:paraId="065D29B4" w14:textId="77777777" w:rsidTr="00F169AF">
        <w:tc>
          <w:tcPr>
            <w:tcW w:w="2303" w:type="dxa"/>
            <w:shd w:val="clear" w:color="auto" w:fill="E0E0E0"/>
          </w:tcPr>
          <w:p w14:paraId="5F1E5877"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2A34AB0B"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4192885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2D85F037"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D7683F" w:rsidRPr="00510853" w14:paraId="349C9A08" w14:textId="77777777" w:rsidTr="00F169AF">
        <w:tc>
          <w:tcPr>
            <w:tcW w:w="2303" w:type="dxa"/>
            <w:shd w:val="clear" w:color="auto" w:fill="E0E0E0"/>
          </w:tcPr>
          <w:p w14:paraId="3F1588F3"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3833B2B6"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325BC131"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050F3CD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7CFF6ED8" w14:textId="77777777" w:rsidR="009D0E41" w:rsidRDefault="00D7683F" w:rsidP="009D0E41">
      <w:pPr>
        <w:pStyle w:val="Headingprimary"/>
      </w:pPr>
      <w:r>
        <w:rPr>
          <w:rFonts w:cs="Arial"/>
        </w:rPr>
        <w:br/>
      </w:r>
      <w:r w:rsidR="009D0E41">
        <w:t>PURPOSE OF THIS TEMPLATE</w:t>
      </w:r>
    </w:p>
    <w:p w14:paraId="6E4C556B" w14:textId="77777777" w:rsidR="009D0E41" w:rsidRDefault="009D0E41" w:rsidP="009D0E41">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t>5.3.</w:t>
      </w:r>
    </w:p>
    <w:p w14:paraId="0175DAF1" w14:textId="77777777" w:rsidR="009D0E41" w:rsidRDefault="009D0E41" w:rsidP="009D0E41">
      <w:pPr>
        <w:pStyle w:val="Headingprimary"/>
      </w:pPr>
      <w:r>
        <w:t xml:space="preserve">INSTRUCTIONS </w:t>
      </w:r>
    </w:p>
    <w:p w14:paraId="738A30A0" w14:textId="77777777" w:rsidR="00E05075" w:rsidRPr="00CB3DE5" w:rsidRDefault="00E05075" w:rsidP="00E05075">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17786709" w14:textId="77777777" w:rsidR="00E05075" w:rsidRPr="00CB3DE5" w:rsidRDefault="00E05075" w:rsidP="00E05075">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01156FF5" w14:textId="77777777" w:rsidR="00E05075" w:rsidRPr="00CB3DE5" w:rsidRDefault="00E05075" w:rsidP="00E05075">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14AD2549" w14:textId="2E74B983" w:rsidR="00D7683F" w:rsidRDefault="00E05075" w:rsidP="00E05075">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D7683F" w:rsidRPr="00CB3DE5">
        <w:rPr>
          <w:b/>
        </w:rPr>
        <w:t xml:space="preserve"> </w:t>
      </w:r>
    </w:p>
    <w:p w14:paraId="57C9876B" w14:textId="77777777" w:rsidR="00D7683F" w:rsidRDefault="00D7683F" w:rsidP="00D7683F">
      <w:pPr>
        <w:pStyle w:val="BodyText"/>
        <w:rPr>
          <w:b/>
        </w:rPr>
      </w:pPr>
    </w:p>
    <w:p w14:paraId="051C122A" w14:textId="77777777" w:rsidR="00865548" w:rsidRDefault="00865548" w:rsidP="00865548">
      <w:pPr>
        <w:pStyle w:val="Headingprimary"/>
      </w:pPr>
      <w:bookmarkStart w:id="1" w:name="_Toc412014869"/>
      <w:bookmarkStart w:id="2" w:name="_Toc416174691"/>
      <w:r>
        <w:lastRenderedPageBreak/>
        <w:t>Review of Board member cap</w:t>
      </w:r>
      <w:r w:rsidRPr="00BD427D">
        <w:t xml:space="preserve">abilities </w:t>
      </w:r>
      <w:bookmarkEnd w:id="1"/>
      <w:bookmarkEnd w:id="2"/>
    </w:p>
    <w:p w14:paraId="20F18716" w14:textId="77777777" w:rsidR="00865548" w:rsidRDefault="00865548" w:rsidP="00865548">
      <w:pPr>
        <w:pStyle w:val="Headingsecondary"/>
      </w:pPr>
      <w:r>
        <w:t>Planning and Organising</w:t>
      </w:r>
    </w:p>
    <w:tbl>
      <w:tblPr>
        <w:tblStyle w:val="TableGrid"/>
        <w:tblW w:w="0" w:type="auto"/>
        <w:tblLook w:val="04A0" w:firstRow="1" w:lastRow="0" w:firstColumn="1" w:lastColumn="0" w:noHBand="0" w:noVBand="1"/>
      </w:tblPr>
      <w:tblGrid>
        <w:gridCol w:w="4788"/>
        <w:gridCol w:w="4788"/>
      </w:tblGrid>
      <w:tr w:rsidR="001C3738" w14:paraId="5C85C60A" w14:textId="77777777" w:rsidTr="001C3738">
        <w:tc>
          <w:tcPr>
            <w:tcW w:w="4788" w:type="dxa"/>
            <w:shd w:val="clear" w:color="auto" w:fill="CCCCCC"/>
          </w:tcPr>
          <w:p w14:paraId="243A63E4" w14:textId="233BE1AA" w:rsidR="001C3738" w:rsidRDefault="001C3738" w:rsidP="00D7683F">
            <w:pPr>
              <w:pStyle w:val="BodyText"/>
              <w:rPr>
                <w:b/>
              </w:rPr>
            </w:pPr>
            <w:r>
              <w:rPr>
                <w:b/>
              </w:rPr>
              <w:t>Capability</w:t>
            </w:r>
          </w:p>
        </w:tc>
        <w:tc>
          <w:tcPr>
            <w:tcW w:w="4788" w:type="dxa"/>
            <w:shd w:val="clear" w:color="auto" w:fill="CCCCCC"/>
          </w:tcPr>
          <w:p w14:paraId="6F16E616" w14:textId="4B4D0E33" w:rsidR="001C3738" w:rsidRDefault="001C3738" w:rsidP="00D7683F">
            <w:pPr>
              <w:pStyle w:val="BodyText"/>
              <w:rPr>
                <w:b/>
              </w:rPr>
            </w:pPr>
            <w:r>
              <w:rPr>
                <w:b/>
              </w:rPr>
              <w:t>Descriptor</w:t>
            </w:r>
          </w:p>
        </w:tc>
      </w:tr>
      <w:tr w:rsidR="00367F70" w14:paraId="4BD41BD0" w14:textId="77777777" w:rsidTr="001C3738">
        <w:tc>
          <w:tcPr>
            <w:tcW w:w="4788" w:type="dxa"/>
          </w:tcPr>
          <w:p w14:paraId="130B44C7" w14:textId="3E7C3E63" w:rsidR="00367F70" w:rsidRDefault="00367F70" w:rsidP="00367F70">
            <w:pPr>
              <w:pStyle w:val="BodyText"/>
              <w:rPr>
                <w:b/>
              </w:rPr>
            </w:pPr>
            <w:r w:rsidRPr="00B3095C">
              <w:t xml:space="preserve">Establishes the vision </w:t>
            </w:r>
          </w:p>
        </w:tc>
        <w:tc>
          <w:tcPr>
            <w:tcW w:w="4788" w:type="dxa"/>
          </w:tcPr>
          <w:p w14:paraId="325A4349" w14:textId="3F7224CC" w:rsidR="00367F70" w:rsidRDefault="00367F70" w:rsidP="00367F70">
            <w:pPr>
              <w:pStyle w:val="BodyText"/>
              <w:rPr>
                <w:b/>
              </w:rPr>
            </w:pPr>
            <w:r w:rsidRPr="00AB3053">
              <w:t>Creates a clear and inspiring vision for the future and demonstrates understanding of, and commitment to, the primary purpose of the organisation</w:t>
            </w:r>
          </w:p>
        </w:tc>
      </w:tr>
      <w:tr w:rsidR="00367F70" w14:paraId="09C8CC25" w14:textId="77777777" w:rsidTr="001C3738">
        <w:tc>
          <w:tcPr>
            <w:tcW w:w="4788" w:type="dxa"/>
          </w:tcPr>
          <w:p w14:paraId="5A37766A" w14:textId="18FA6EDE" w:rsidR="00367F70" w:rsidRDefault="00367F70" w:rsidP="00367F70">
            <w:pPr>
              <w:pStyle w:val="BodyText"/>
              <w:rPr>
                <w:b/>
              </w:rPr>
            </w:pPr>
            <w:r w:rsidRPr="00B3095C">
              <w:t>Designs the strategy</w:t>
            </w:r>
          </w:p>
        </w:tc>
        <w:tc>
          <w:tcPr>
            <w:tcW w:w="4788" w:type="dxa"/>
          </w:tcPr>
          <w:p w14:paraId="1CC6982E" w14:textId="5A7BFC6F" w:rsidR="00367F70" w:rsidRDefault="00367F70" w:rsidP="00367F70">
            <w:pPr>
              <w:pStyle w:val="BodyText"/>
              <w:rPr>
                <w:b/>
              </w:rPr>
            </w:pPr>
            <w:r w:rsidRPr="00AB3053">
              <w:t>Contributes to the development of a sound strategic plan so that staff and members can work to achieve identified outcomes and vision</w:t>
            </w:r>
          </w:p>
        </w:tc>
      </w:tr>
      <w:tr w:rsidR="00367F70" w14:paraId="2305B3A2" w14:textId="77777777" w:rsidTr="001C3738">
        <w:tc>
          <w:tcPr>
            <w:tcW w:w="4788" w:type="dxa"/>
          </w:tcPr>
          <w:p w14:paraId="26F1B8F5" w14:textId="2CC910C4" w:rsidR="00367F70" w:rsidRPr="00B3095C" w:rsidRDefault="00367F70" w:rsidP="00367F70">
            <w:pPr>
              <w:pStyle w:val="BodyText"/>
            </w:pPr>
            <w:r w:rsidRPr="00B3095C">
              <w:t>Is informed</w:t>
            </w:r>
          </w:p>
        </w:tc>
        <w:tc>
          <w:tcPr>
            <w:tcW w:w="4788" w:type="dxa"/>
          </w:tcPr>
          <w:p w14:paraId="22514661" w14:textId="3894EA8C" w:rsidR="00367F70" w:rsidRPr="00AB3053" w:rsidRDefault="00367F70" w:rsidP="00367F70">
            <w:pPr>
              <w:pStyle w:val="BodyText"/>
            </w:pPr>
            <w:r w:rsidRPr="00AB3053">
              <w:t>Understands the big picture and emerging issues that will impact the organisation; reads papers prior to meetings and obtains good information to actively participate in discussion and decision-making</w:t>
            </w:r>
          </w:p>
        </w:tc>
      </w:tr>
      <w:tr w:rsidR="00367F70" w14:paraId="07E1E924" w14:textId="77777777" w:rsidTr="001C3738">
        <w:tc>
          <w:tcPr>
            <w:tcW w:w="4788" w:type="dxa"/>
          </w:tcPr>
          <w:p w14:paraId="19E47E4B" w14:textId="00B9C55A" w:rsidR="00367F70" w:rsidRPr="00B3095C" w:rsidRDefault="00367F70" w:rsidP="00367F70">
            <w:pPr>
              <w:pStyle w:val="BodyText"/>
            </w:pPr>
            <w:r w:rsidRPr="00B3095C">
              <w:t>Plans for sustainability of Board</w:t>
            </w:r>
          </w:p>
        </w:tc>
        <w:tc>
          <w:tcPr>
            <w:tcW w:w="4788" w:type="dxa"/>
          </w:tcPr>
          <w:p w14:paraId="6DCDB692" w14:textId="71D4B4CE" w:rsidR="00367F70" w:rsidRPr="00AB3053" w:rsidRDefault="00367F70" w:rsidP="00367F70">
            <w:pPr>
              <w:pStyle w:val="BodyText"/>
            </w:pPr>
            <w:r w:rsidRPr="00AB3053">
              <w:t>Plans for organisational sustainability and financial viability; recruits new Board members with relevant and diverse skills and experience; supports induction; undertakes Board reviews and Board development activities</w:t>
            </w:r>
          </w:p>
        </w:tc>
      </w:tr>
      <w:tr w:rsidR="00367F70" w14:paraId="4A628AAE" w14:textId="77777777" w:rsidTr="001C3738">
        <w:tc>
          <w:tcPr>
            <w:tcW w:w="4788" w:type="dxa"/>
          </w:tcPr>
          <w:p w14:paraId="6F113BF4" w14:textId="416F1220" w:rsidR="00367F70" w:rsidRPr="00B3095C" w:rsidRDefault="00367F70" w:rsidP="00367F70">
            <w:pPr>
              <w:pStyle w:val="BodyText"/>
            </w:pPr>
            <w:r w:rsidRPr="00B3095C">
              <w:t>Focuses on key issues</w:t>
            </w:r>
          </w:p>
        </w:tc>
        <w:tc>
          <w:tcPr>
            <w:tcW w:w="4788" w:type="dxa"/>
          </w:tcPr>
          <w:p w14:paraId="033604CB" w14:textId="5D172918" w:rsidR="00367F70" w:rsidRPr="00AB3053" w:rsidRDefault="00367F70" w:rsidP="00367F70">
            <w:pPr>
              <w:pStyle w:val="BodyText"/>
            </w:pPr>
            <w:r w:rsidRPr="00AB3053">
              <w:t>Works together with fellow Board members to prioritise the Board’s work, focus on outcomes and address issues that impact on the organisational sustainability</w:t>
            </w:r>
          </w:p>
        </w:tc>
      </w:tr>
    </w:tbl>
    <w:p w14:paraId="351B2920" w14:textId="77777777" w:rsidR="003E43F8" w:rsidRDefault="003E43F8" w:rsidP="0053029C"/>
    <w:p w14:paraId="5C9064E5" w14:textId="5C32D073" w:rsidR="00367F70" w:rsidRDefault="0053029C" w:rsidP="00D7683F">
      <w:pPr>
        <w:pStyle w:val="BodyText"/>
        <w:rPr>
          <w:b/>
        </w:rPr>
      </w:pPr>
      <w:r>
        <w:rPr>
          <w:b/>
        </w:rPr>
        <w:t>Monitoring and Reviewing</w:t>
      </w:r>
    </w:p>
    <w:tbl>
      <w:tblPr>
        <w:tblStyle w:val="TableGrid"/>
        <w:tblW w:w="0" w:type="auto"/>
        <w:tblLook w:val="04A0" w:firstRow="1" w:lastRow="0" w:firstColumn="1" w:lastColumn="0" w:noHBand="0" w:noVBand="1"/>
      </w:tblPr>
      <w:tblGrid>
        <w:gridCol w:w="4788"/>
        <w:gridCol w:w="4788"/>
      </w:tblGrid>
      <w:tr w:rsidR="0053029C" w14:paraId="36774D3E" w14:textId="77777777" w:rsidTr="00746049">
        <w:tc>
          <w:tcPr>
            <w:tcW w:w="4788" w:type="dxa"/>
            <w:shd w:val="clear" w:color="auto" w:fill="CCCCCC"/>
          </w:tcPr>
          <w:p w14:paraId="4C6BC289" w14:textId="77777777" w:rsidR="0053029C" w:rsidRDefault="0053029C" w:rsidP="00746049">
            <w:pPr>
              <w:pStyle w:val="BodyText"/>
              <w:rPr>
                <w:b/>
              </w:rPr>
            </w:pPr>
            <w:r>
              <w:rPr>
                <w:b/>
              </w:rPr>
              <w:t>Capability</w:t>
            </w:r>
          </w:p>
        </w:tc>
        <w:tc>
          <w:tcPr>
            <w:tcW w:w="4788" w:type="dxa"/>
            <w:shd w:val="clear" w:color="auto" w:fill="CCCCCC"/>
          </w:tcPr>
          <w:p w14:paraId="5D12D4B7" w14:textId="77777777" w:rsidR="0053029C" w:rsidRDefault="0053029C" w:rsidP="00746049">
            <w:pPr>
              <w:pStyle w:val="BodyText"/>
              <w:rPr>
                <w:b/>
              </w:rPr>
            </w:pPr>
            <w:r>
              <w:rPr>
                <w:b/>
              </w:rPr>
              <w:t>Descriptor</w:t>
            </w:r>
          </w:p>
        </w:tc>
      </w:tr>
      <w:tr w:rsidR="0053029C" w14:paraId="32C7F71C" w14:textId="77777777" w:rsidTr="00746049">
        <w:tc>
          <w:tcPr>
            <w:tcW w:w="4788" w:type="dxa"/>
          </w:tcPr>
          <w:p w14:paraId="19DB186B" w14:textId="0DB1AF22" w:rsidR="0053029C" w:rsidRDefault="0053029C" w:rsidP="0053029C">
            <w:pPr>
              <w:pStyle w:val="BodyText"/>
              <w:rPr>
                <w:b/>
              </w:rPr>
            </w:pPr>
            <w:r w:rsidRPr="00B3095C">
              <w:t>Reviews budgets and financial reports</w:t>
            </w:r>
          </w:p>
        </w:tc>
        <w:tc>
          <w:tcPr>
            <w:tcW w:w="4788" w:type="dxa"/>
          </w:tcPr>
          <w:p w14:paraId="054492FF" w14:textId="74986D5C" w:rsidR="0053029C" w:rsidRDefault="0053029C" w:rsidP="0053029C">
            <w:pPr>
              <w:pStyle w:val="BodyText"/>
              <w:rPr>
                <w:b/>
              </w:rPr>
            </w:pPr>
            <w:r w:rsidRPr="007B27B0">
              <w:t>Ensures solvency of the organisation and that the organisation is protected against fraud and theft; interprets regular financial reports; monitors and reviews financial performance; ensures expenditure aligns with objectives and priorities</w:t>
            </w:r>
          </w:p>
        </w:tc>
      </w:tr>
      <w:tr w:rsidR="0053029C" w14:paraId="59A6231E" w14:textId="77777777" w:rsidTr="00746049">
        <w:tc>
          <w:tcPr>
            <w:tcW w:w="4788" w:type="dxa"/>
          </w:tcPr>
          <w:p w14:paraId="3FCD7D14" w14:textId="559E28EA" w:rsidR="0053029C" w:rsidRPr="00B3095C" w:rsidRDefault="0053029C" w:rsidP="0053029C">
            <w:pPr>
              <w:pStyle w:val="BodyText"/>
            </w:pPr>
            <w:r w:rsidRPr="00B3095C">
              <w:t>Ensures compliance</w:t>
            </w:r>
          </w:p>
        </w:tc>
        <w:tc>
          <w:tcPr>
            <w:tcW w:w="4788" w:type="dxa"/>
          </w:tcPr>
          <w:p w14:paraId="49443B5C" w14:textId="2F946BE1" w:rsidR="0053029C" w:rsidRPr="007B27B0" w:rsidRDefault="0053029C" w:rsidP="0053029C">
            <w:pPr>
              <w:pStyle w:val="BodyText"/>
            </w:pPr>
            <w:r w:rsidRPr="007B27B0">
              <w:t xml:space="preserve">Ensures that the organisation is accountable and meeting reporting requirements of funding bodies, employment and other legislative responsibilities; has adequate insurances and provides a safe environment for staff and </w:t>
            </w:r>
            <w:r w:rsidRPr="007B27B0">
              <w:lastRenderedPageBreak/>
              <w:t>Board members</w:t>
            </w:r>
          </w:p>
        </w:tc>
      </w:tr>
      <w:tr w:rsidR="0053029C" w14:paraId="4979559A" w14:textId="77777777" w:rsidTr="00746049">
        <w:tc>
          <w:tcPr>
            <w:tcW w:w="4788" w:type="dxa"/>
          </w:tcPr>
          <w:p w14:paraId="5FEEDEFB" w14:textId="4ED5C112" w:rsidR="0053029C" w:rsidRPr="00B3095C" w:rsidRDefault="0053029C" w:rsidP="0053029C">
            <w:pPr>
              <w:pStyle w:val="BodyText"/>
            </w:pPr>
            <w:r w:rsidRPr="00B3095C">
              <w:lastRenderedPageBreak/>
              <w:t>Manages risk</w:t>
            </w:r>
          </w:p>
        </w:tc>
        <w:tc>
          <w:tcPr>
            <w:tcW w:w="4788" w:type="dxa"/>
          </w:tcPr>
          <w:p w14:paraId="69ED238A" w14:textId="795CBE5B" w:rsidR="0053029C" w:rsidRPr="007B27B0" w:rsidRDefault="0053029C" w:rsidP="0053029C">
            <w:pPr>
              <w:pStyle w:val="BodyText"/>
            </w:pPr>
            <w:r w:rsidRPr="007B27B0">
              <w:t>Establishes a risk management framework to review and prioritise risks to the organisation; and develops strategies to control or mitigate risks that could threaten the organisation</w:t>
            </w:r>
          </w:p>
        </w:tc>
      </w:tr>
      <w:tr w:rsidR="0053029C" w14:paraId="2A2E37E8" w14:textId="77777777" w:rsidTr="00746049">
        <w:tc>
          <w:tcPr>
            <w:tcW w:w="4788" w:type="dxa"/>
          </w:tcPr>
          <w:p w14:paraId="5BC0CB16" w14:textId="4A238CE8" w:rsidR="0053029C" w:rsidRPr="00B3095C" w:rsidRDefault="0053029C" w:rsidP="0053029C">
            <w:pPr>
              <w:pStyle w:val="BodyText"/>
            </w:pPr>
            <w:r w:rsidRPr="00B3095C">
              <w:t>Critically reviews reports</w:t>
            </w:r>
          </w:p>
        </w:tc>
        <w:tc>
          <w:tcPr>
            <w:tcW w:w="4788" w:type="dxa"/>
          </w:tcPr>
          <w:p w14:paraId="0E3BE0DD" w14:textId="50E18103" w:rsidR="0053029C" w:rsidRPr="007B27B0" w:rsidRDefault="0053029C" w:rsidP="0053029C">
            <w:pPr>
              <w:pStyle w:val="BodyText"/>
            </w:pPr>
            <w:r w:rsidRPr="007B27B0">
              <w:t>Critically reviews CEO and other reports on the activities and financial position of the organisation to ensure the organisation remains viable and working to its strate</w:t>
            </w:r>
            <w:r>
              <w:t>gic vision</w:t>
            </w:r>
          </w:p>
        </w:tc>
      </w:tr>
      <w:tr w:rsidR="0053029C" w14:paraId="26E13CFD" w14:textId="77777777" w:rsidTr="00746049">
        <w:tc>
          <w:tcPr>
            <w:tcW w:w="4788" w:type="dxa"/>
          </w:tcPr>
          <w:p w14:paraId="5CF6A8EF" w14:textId="29ED83C3" w:rsidR="0053029C" w:rsidRPr="00B3095C" w:rsidRDefault="0053029C" w:rsidP="0053029C">
            <w:pPr>
              <w:pStyle w:val="BodyText"/>
            </w:pPr>
            <w:r w:rsidRPr="00B3095C">
              <w:t>Monitors strategy and reviews achievements</w:t>
            </w:r>
          </w:p>
        </w:tc>
        <w:tc>
          <w:tcPr>
            <w:tcW w:w="4788" w:type="dxa"/>
          </w:tcPr>
          <w:p w14:paraId="7DBBC0D2" w14:textId="17E49F1E" w:rsidR="0053029C" w:rsidRPr="007B27B0" w:rsidRDefault="0053029C" w:rsidP="0053029C">
            <w:pPr>
              <w:pStyle w:val="BodyText"/>
            </w:pPr>
            <w:r w:rsidRPr="007B27B0">
              <w:t>Working with the CEO, monitors progress against strategic plan; revises strategy as required; and celebrates organisational achievements with staff and other stakeholders</w:t>
            </w:r>
          </w:p>
        </w:tc>
      </w:tr>
    </w:tbl>
    <w:p w14:paraId="38968DBD" w14:textId="77777777" w:rsidR="0053029C" w:rsidRDefault="0053029C" w:rsidP="0053029C"/>
    <w:p w14:paraId="38B8FC1E" w14:textId="23964F69" w:rsidR="0053029C" w:rsidRDefault="0053029C" w:rsidP="00D7683F">
      <w:pPr>
        <w:pStyle w:val="BodyText"/>
        <w:rPr>
          <w:b/>
        </w:rPr>
      </w:pPr>
      <w:r>
        <w:rPr>
          <w:b/>
        </w:rPr>
        <w:t>Working together</w:t>
      </w:r>
    </w:p>
    <w:tbl>
      <w:tblPr>
        <w:tblStyle w:val="TableGrid"/>
        <w:tblW w:w="0" w:type="auto"/>
        <w:tblLook w:val="04A0" w:firstRow="1" w:lastRow="0" w:firstColumn="1" w:lastColumn="0" w:noHBand="0" w:noVBand="1"/>
      </w:tblPr>
      <w:tblGrid>
        <w:gridCol w:w="4788"/>
        <w:gridCol w:w="4788"/>
      </w:tblGrid>
      <w:tr w:rsidR="0053029C" w14:paraId="0B1D25EE" w14:textId="77777777" w:rsidTr="00746049">
        <w:tc>
          <w:tcPr>
            <w:tcW w:w="4788" w:type="dxa"/>
            <w:shd w:val="clear" w:color="auto" w:fill="CCCCCC"/>
          </w:tcPr>
          <w:p w14:paraId="3748448F" w14:textId="77777777" w:rsidR="0053029C" w:rsidRDefault="0053029C" w:rsidP="00746049">
            <w:pPr>
              <w:pStyle w:val="BodyText"/>
              <w:rPr>
                <w:b/>
              </w:rPr>
            </w:pPr>
            <w:r>
              <w:rPr>
                <w:b/>
              </w:rPr>
              <w:t>Capability</w:t>
            </w:r>
          </w:p>
        </w:tc>
        <w:tc>
          <w:tcPr>
            <w:tcW w:w="4788" w:type="dxa"/>
            <w:shd w:val="clear" w:color="auto" w:fill="CCCCCC"/>
          </w:tcPr>
          <w:p w14:paraId="6A7AFBDC" w14:textId="77777777" w:rsidR="0053029C" w:rsidRDefault="0053029C" w:rsidP="00746049">
            <w:pPr>
              <w:pStyle w:val="BodyText"/>
              <w:rPr>
                <w:b/>
              </w:rPr>
            </w:pPr>
            <w:r>
              <w:rPr>
                <w:b/>
              </w:rPr>
              <w:t>Descriptor</w:t>
            </w:r>
          </w:p>
        </w:tc>
      </w:tr>
      <w:tr w:rsidR="0053029C" w14:paraId="5EEAFC0E" w14:textId="77777777" w:rsidTr="00746049">
        <w:tc>
          <w:tcPr>
            <w:tcW w:w="4788" w:type="dxa"/>
          </w:tcPr>
          <w:p w14:paraId="7844CA5D" w14:textId="22A83F0E" w:rsidR="0053029C" w:rsidRDefault="0053029C" w:rsidP="0053029C">
            <w:pPr>
              <w:pStyle w:val="BodyText"/>
              <w:rPr>
                <w:b/>
              </w:rPr>
            </w:pPr>
            <w:r w:rsidRPr="00B3095C">
              <w:t>Contributes to meetings</w:t>
            </w:r>
          </w:p>
        </w:tc>
        <w:tc>
          <w:tcPr>
            <w:tcW w:w="4788" w:type="dxa"/>
          </w:tcPr>
          <w:p w14:paraId="021446C1" w14:textId="2B87B6E8" w:rsidR="0053029C" w:rsidRDefault="0053029C" w:rsidP="0053029C">
            <w:pPr>
              <w:pStyle w:val="BodyText"/>
              <w:rPr>
                <w:b/>
              </w:rPr>
            </w:pPr>
            <w:r w:rsidRPr="007B27B0">
              <w:t>Regularly attends meetings; works to meeting protocols; listens actively; focuses on the presenting issue; and provides relevant and succinct contributions that assist the meeting to efficiently work through the agenda</w:t>
            </w:r>
          </w:p>
        </w:tc>
      </w:tr>
      <w:tr w:rsidR="0053029C" w14:paraId="69ECDA25" w14:textId="77777777" w:rsidTr="00746049">
        <w:tc>
          <w:tcPr>
            <w:tcW w:w="4788" w:type="dxa"/>
          </w:tcPr>
          <w:p w14:paraId="67E2DD48" w14:textId="3E79BC72" w:rsidR="0053029C" w:rsidRPr="00B3095C" w:rsidRDefault="0053029C" w:rsidP="0053029C">
            <w:pPr>
              <w:pStyle w:val="BodyText"/>
            </w:pPr>
            <w:r w:rsidRPr="00B3095C">
              <w:t>Engages with community / members</w:t>
            </w:r>
          </w:p>
        </w:tc>
        <w:tc>
          <w:tcPr>
            <w:tcW w:w="4788" w:type="dxa"/>
          </w:tcPr>
          <w:p w14:paraId="0550056D" w14:textId="5F3F36AE" w:rsidR="0053029C" w:rsidRPr="007B27B0" w:rsidRDefault="0053029C" w:rsidP="0053029C">
            <w:pPr>
              <w:pStyle w:val="BodyText"/>
            </w:pPr>
            <w:r w:rsidRPr="007B27B0">
              <w:t>Builds and maintains relationships that will ensure decisions are informed by community’s /members’ best interests; promotes the organisation through various networks; and supports fundraising initiatives</w:t>
            </w:r>
          </w:p>
        </w:tc>
      </w:tr>
      <w:tr w:rsidR="0053029C" w14:paraId="0139A665" w14:textId="77777777" w:rsidTr="00746049">
        <w:tc>
          <w:tcPr>
            <w:tcW w:w="4788" w:type="dxa"/>
          </w:tcPr>
          <w:p w14:paraId="32180F81" w14:textId="1BB1145C" w:rsidR="0053029C" w:rsidRPr="00B3095C" w:rsidRDefault="0053029C" w:rsidP="0053029C">
            <w:pPr>
              <w:pStyle w:val="BodyText"/>
            </w:pPr>
            <w:r w:rsidRPr="00B3095C">
              <w:t>Works to a sound policy framework</w:t>
            </w:r>
          </w:p>
        </w:tc>
        <w:tc>
          <w:tcPr>
            <w:tcW w:w="4788" w:type="dxa"/>
          </w:tcPr>
          <w:p w14:paraId="60178441" w14:textId="7366D294" w:rsidR="0053029C" w:rsidRPr="007B27B0" w:rsidRDefault="0053029C" w:rsidP="0053029C">
            <w:pPr>
              <w:pStyle w:val="BodyText"/>
            </w:pPr>
            <w:r w:rsidRPr="007B27B0">
              <w:t>Establishes Board policies to address financial management, terms for officeholders, conflict of interest, relations with CEO and code of conduct for Board; establishes other policies as required; ensures decisions are guided by agreed policies</w:t>
            </w:r>
          </w:p>
        </w:tc>
      </w:tr>
      <w:tr w:rsidR="0053029C" w14:paraId="24D66B19" w14:textId="77777777" w:rsidTr="00746049">
        <w:tc>
          <w:tcPr>
            <w:tcW w:w="4788" w:type="dxa"/>
          </w:tcPr>
          <w:p w14:paraId="4D088E19" w14:textId="50D76CFB" w:rsidR="0053029C" w:rsidRPr="00B3095C" w:rsidRDefault="0053029C" w:rsidP="0053029C">
            <w:pPr>
              <w:pStyle w:val="BodyText"/>
            </w:pPr>
            <w:r w:rsidRPr="00B3095C">
              <w:t xml:space="preserve">Fosters stakeholder engagement </w:t>
            </w:r>
          </w:p>
        </w:tc>
        <w:tc>
          <w:tcPr>
            <w:tcW w:w="4788" w:type="dxa"/>
          </w:tcPr>
          <w:p w14:paraId="5C402B9F" w14:textId="737CBD49" w:rsidR="0053029C" w:rsidRPr="007B27B0" w:rsidRDefault="0053029C" w:rsidP="0053029C">
            <w:pPr>
              <w:pStyle w:val="BodyText"/>
            </w:pPr>
            <w:r w:rsidRPr="007B27B0">
              <w:t>Communicates with stakeholders; ensures that appropriate mechanisms are in place to inform and engage with stakeholders to further the achievement of organisational objectives</w:t>
            </w:r>
          </w:p>
        </w:tc>
      </w:tr>
      <w:tr w:rsidR="0053029C" w14:paraId="516037F2" w14:textId="77777777" w:rsidTr="00746049">
        <w:tc>
          <w:tcPr>
            <w:tcW w:w="4788" w:type="dxa"/>
          </w:tcPr>
          <w:p w14:paraId="1D45365F" w14:textId="734F105C" w:rsidR="0053029C" w:rsidRPr="00B3095C" w:rsidRDefault="0053029C" w:rsidP="0053029C">
            <w:pPr>
              <w:pStyle w:val="BodyText"/>
            </w:pPr>
            <w:r w:rsidRPr="00B3095C">
              <w:lastRenderedPageBreak/>
              <w:t>Provides leadership and works collaboratively</w:t>
            </w:r>
          </w:p>
        </w:tc>
        <w:tc>
          <w:tcPr>
            <w:tcW w:w="4788" w:type="dxa"/>
          </w:tcPr>
          <w:p w14:paraId="03438C0B" w14:textId="3B339B46" w:rsidR="0053029C" w:rsidRPr="007B27B0" w:rsidRDefault="0053029C" w:rsidP="0053029C">
            <w:pPr>
              <w:pStyle w:val="BodyText"/>
            </w:pPr>
            <w:r w:rsidRPr="007B27B0">
              <w:t>Works together to provide organisational leadership; respects differences and values diversity; supports the Chair and CEO to meet their obligations; and commits to agreed decisions</w:t>
            </w:r>
          </w:p>
        </w:tc>
      </w:tr>
    </w:tbl>
    <w:p w14:paraId="2BACE9E9" w14:textId="0565BF33" w:rsidR="0053029C" w:rsidRDefault="00E95162" w:rsidP="00D7683F">
      <w:pPr>
        <w:pStyle w:val="BodyText"/>
        <w:rPr>
          <w:b/>
        </w:rPr>
      </w:pPr>
      <w:r>
        <w:rPr>
          <w:b/>
        </w:rPr>
        <w:t>Being effective and accountable</w:t>
      </w:r>
    </w:p>
    <w:tbl>
      <w:tblPr>
        <w:tblStyle w:val="TableGrid"/>
        <w:tblW w:w="0" w:type="auto"/>
        <w:tblLook w:val="04A0" w:firstRow="1" w:lastRow="0" w:firstColumn="1" w:lastColumn="0" w:noHBand="0" w:noVBand="1"/>
      </w:tblPr>
      <w:tblGrid>
        <w:gridCol w:w="4788"/>
        <w:gridCol w:w="4788"/>
      </w:tblGrid>
      <w:tr w:rsidR="00E95162" w14:paraId="18C55AB8" w14:textId="77777777" w:rsidTr="00746049">
        <w:tc>
          <w:tcPr>
            <w:tcW w:w="4788" w:type="dxa"/>
            <w:shd w:val="clear" w:color="auto" w:fill="CCCCCC"/>
          </w:tcPr>
          <w:p w14:paraId="39AF7349" w14:textId="77777777" w:rsidR="00E95162" w:rsidRDefault="00E95162" w:rsidP="00746049">
            <w:pPr>
              <w:pStyle w:val="BodyText"/>
              <w:rPr>
                <w:b/>
              </w:rPr>
            </w:pPr>
            <w:r>
              <w:rPr>
                <w:b/>
              </w:rPr>
              <w:t>Capability</w:t>
            </w:r>
          </w:p>
        </w:tc>
        <w:tc>
          <w:tcPr>
            <w:tcW w:w="4788" w:type="dxa"/>
            <w:shd w:val="clear" w:color="auto" w:fill="CCCCCC"/>
          </w:tcPr>
          <w:p w14:paraId="1AE68692" w14:textId="77777777" w:rsidR="00E95162" w:rsidRDefault="00E95162" w:rsidP="00746049">
            <w:pPr>
              <w:pStyle w:val="BodyText"/>
              <w:rPr>
                <w:b/>
              </w:rPr>
            </w:pPr>
            <w:r>
              <w:rPr>
                <w:b/>
              </w:rPr>
              <w:t>Descriptor</w:t>
            </w:r>
          </w:p>
        </w:tc>
      </w:tr>
      <w:tr w:rsidR="005246EC" w14:paraId="1A13D9AD" w14:textId="77777777" w:rsidTr="00746049">
        <w:tc>
          <w:tcPr>
            <w:tcW w:w="4788" w:type="dxa"/>
          </w:tcPr>
          <w:p w14:paraId="663609DA" w14:textId="4DB008E0" w:rsidR="005246EC" w:rsidRDefault="005246EC" w:rsidP="005246EC">
            <w:pPr>
              <w:pStyle w:val="BodyText"/>
              <w:rPr>
                <w:b/>
              </w:rPr>
            </w:pPr>
            <w:r w:rsidRPr="00D36472">
              <w:t>Clarifies roles and responsibilities</w:t>
            </w:r>
          </w:p>
        </w:tc>
        <w:tc>
          <w:tcPr>
            <w:tcW w:w="4788" w:type="dxa"/>
          </w:tcPr>
          <w:p w14:paraId="4224D533" w14:textId="755164D2" w:rsidR="005246EC" w:rsidRDefault="005246EC" w:rsidP="005246EC">
            <w:pPr>
              <w:pStyle w:val="BodyText"/>
              <w:rPr>
                <w:b/>
              </w:rPr>
            </w:pPr>
            <w:r w:rsidRPr="007B27B0">
              <w:t>Establishes appropriate Board and sub-committee structures; ensures that roles and responsibilities are clearly defined; is clear about the distinction between governance and management; critically reviews Board performance</w:t>
            </w:r>
          </w:p>
        </w:tc>
      </w:tr>
      <w:tr w:rsidR="005246EC" w14:paraId="32501E24" w14:textId="77777777" w:rsidTr="00746049">
        <w:tc>
          <w:tcPr>
            <w:tcW w:w="4788" w:type="dxa"/>
          </w:tcPr>
          <w:p w14:paraId="5B2C5332" w14:textId="46A11448" w:rsidR="005246EC" w:rsidRPr="00D36472" w:rsidRDefault="005246EC" w:rsidP="005246EC">
            <w:pPr>
              <w:pStyle w:val="BodyText"/>
            </w:pPr>
            <w:r>
              <w:t>Behaves ethically</w:t>
            </w:r>
          </w:p>
        </w:tc>
        <w:tc>
          <w:tcPr>
            <w:tcW w:w="4788" w:type="dxa"/>
          </w:tcPr>
          <w:p w14:paraId="4E807D34" w14:textId="2C93F9C1" w:rsidR="005246EC" w:rsidRPr="007B27B0" w:rsidRDefault="005246EC" w:rsidP="005246EC">
            <w:pPr>
              <w:pStyle w:val="BodyText"/>
            </w:pPr>
            <w:r w:rsidRPr="007B27B0">
              <w:t>Ensures Board independence; acts in the best interests of the organisation; avoids conflicts of interest; does not use position as a Board member to obtain advantages for self or others</w:t>
            </w:r>
          </w:p>
        </w:tc>
      </w:tr>
      <w:tr w:rsidR="005246EC" w14:paraId="35A6F0E8" w14:textId="77777777" w:rsidTr="00746049">
        <w:tc>
          <w:tcPr>
            <w:tcW w:w="4788" w:type="dxa"/>
          </w:tcPr>
          <w:p w14:paraId="7B233BA2" w14:textId="6074C4C1" w:rsidR="005246EC" w:rsidRDefault="005246EC" w:rsidP="005246EC">
            <w:pPr>
              <w:pStyle w:val="BodyText"/>
            </w:pPr>
            <w:r w:rsidRPr="00A352D7">
              <w:t xml:space="preserve">Makes clear and timely decisions </w:t>
            </w:r>
          </w:p>
        </w:tc>
        <w:tc>
          <w:tcPr>
            <w:tcW w:w="4788" w:type="dxa"/>
          </w:tcPr>
          <w:p w14:paraId="11B3B156" w14:textId="7AACFD19" w:rsidR="005246EC" w:rsidRPr="007B27B0" w:rsidRDefault="005246EC" w:rsidP="005246EC">
            <w:pPr>
              <w:pStyle w:val="BodyText"/>
            </w:pPr>
            <w:r w:rsidRPr="007B27B0">
              <w:t>Makes timely and transparent decisions that reflect a commitment to organisational sustainability and strategic vision; acts in good faith, and publicly stands by agreed Board position</w:t>
            </w:r>
          </w:p>
        </w:tc>
      </w:tr>
      <w:tr w:rsidR="005246EC" w14:paraId="2FAD85F8" w14:textId="77777777" w:rsidTr="00746049">
        <w:tc>
          <w:tcPr>
            <w:tcW w:w="4788" w:type="dxa"/>
          </w:tcPr>
          <w:p w14:paraId="5D75E5E1" w14:textId="2EF93790" w:rsidR="005246EC" w:rsidRPr="00A352D7" w:rsidRDefault="005246EC" w:rsidP="005246EC">
            <w:pPr>
              <w:pStyle w:val="BodyText"/>
            </w:pPr>
            <w:r w:rsidRPr="00A352D7">
              <w:t>Operates within constitutional requirements</w:t>
            </w:r>
          </w:p>
        </w:tc>
        <w:tc>
          <w:tcPr>
            <w:tcW w:w="4788" w:type="dxa"/>
          </w:tcPr>
          <w:p w14:paraId="0F00E067" w14:textId="29D55932" w:rsidR="005246EC" w:rsidRPr="007B27B0" w:rsidRDefault="005246EC" w:rsidP="005246EC">
            <w:pPr>
              <w:pStyle w:val="BodyText"/>
            </w:pPr>
            <w:r w:rsidRPr="007B27B0">
              <w:t>Ensures that the requirements and obligations of the constitution are met</w:t>
            </w:r>
          </w:p>
        </w:tc>
      </w:tr>
      <w:tr w:rsidR="005246EC" w14:paraId="73934709" w14:textId="77777777" w:rsidTr="00746049">
        <w:tc>
          <w:tcPr>
            <w:tcW w:w="4788" w:type="dxa"/>
          </w:tcPr>
          <w:p w14:paraId="2225062D" w14:textId="74191C27" w:rsidR="005246EC" w:rsidRPr="00A352D7" w:rsidRDefault="005246EC" w:rsidP="005246EC">
            <w:pPr>
              <w:pStyle w:val="BodyText"/>
            </w:pPr>
            <w:r w:rsidRPr="00C708F4">
              <w:t>Respects confidentiality</w:t>
            </w:r>
          </w:p>
        </w:tc>
        <w:tc>
          <w:tcPr>
            <w:tcW w:w="4788" w:type="dxa"/>
          </w:tcPr>
          <w:p w14:paraId="016AA6F2" w14:textId="025A0187" w:rsidR="005246EC" w:rsidRPr="007B27B0" w:rsidRDefault="005246EC" w:rsidP="005246EC">
            <w:pPr>
              <w:pStyle w:val="BodyText"/>
            </w:pPr>
            <w:r w:rsidRPr="007B27B0">
              <w:t>Maintains confidentiality about decision-making and ensures that information is not misused</w:t>
            </w:r>
          </w:p>
        </w:tc>
      </w:tr>
    </w:tbl>
    <w:p w14:paraId="5B1D4570" w14:textId="77777777" w:rsidR="00E95162" w:rsidRDefault="00E95162" w:rsidP="005246EC"/>
    <w:p w14:paraId="62467934" w14:textId="77777777" w:rsidR="00D2435D" w:rsidRDefault="00D2435D" w:rsidP="00D2435D">
      <w:pPr>
        <w:pStyle w:val="Headingprimary"/>
      </w:pPr>
      <w:bookmarkStart w:id="3" w:name="_Toc213149459"/>
      <w:bookmarkStart w:id="4" w:name="_Toc213149599"/>
      <w:bookmarkStart w:id="5" w:name="_Toc213150182"/>
      <w:bookmarkStart w:id="6" w:name="_Toc412014870"/>
      <w:bookmarkStart w:id="7" w:name="_Toc416174692"/>
      <w:r w:rsidRPr="00BD427D">
        <w:t>Additional capabilities for the Office Bearers</w:t>
      </w:r>
      <w:bookmarkEnd w:id="3"/>
      <w:bookmarkEnd w:id="4"/>
      <w:bookmarkEnd w:id="5"/>
      <w:bookmarkEnd w:id="6"/>
      <w:bookmarkEnd w:id="7"/>
    </w:p>
    <w:p w14:paraId="44A499F5" w14:textId="77777777" w:rsidR="00D2435D" w:rsidRDefault="00D2435D" w:rsidP="00D2435D">
      <w:pPr>
        <w:pStyle w:val="Headingsecondary"/>
      </w:pPr>
      <w:r>
        <w:t>Chair</w:t>
      </w:r>
    </w:p>
    <w:tbl>
      <w:tblPr>
        <w:tblStyle w:val="TableGrid"/>
        <w:tblW w:w="0" w:type="auto"/>
        <w:tblLook w:val="04A0" w:firstRow="1" w:lastRow="0" w:firstColumn="1" w:lastColumn="0" w:noHBand="0" w:noVBand="1"/>
      </w:tblPr>
      <w:tblGrid>
        <w:gridCol w:w="4788"/>
        <w:gridCol w:w="4788"/>
      </w:tblGrid>
      <w:tr w:rsidR="005C0213" w14:paraId="423551B7" w14:textId="77777777" w:rsidTr="00746049">
        <w:tc>
          <w:tcPr>
            <w:tcW w:w="4788" w:type="dxa"/>
            <w:shd w:val="clear" w:color="auto" w:fill="CCCCCC"/>
          </w:tcPr>
          <w:p w14:paraId="7199347D" w14:textId="77777777" w:rsidR="005C0213" w:rsidRDefault="005C0213" w:rsidP="00746049">
            <w:pPr>
              <w:pStyle w:val="BodyText"/>
              <w:rPr>
                <w:b/>
              </w:rPr>
            </w:pPr>
            <w:r>
              <w:rPr>
                <w:b/>
              </w:rPr>
              <w:t>Capability</w:t>
            </w:r>
          </w:p>
        </w:tc>
        <w:tc>
          <w:tcPr>
            <w:tcW w:w="4788" w:type="dxa"/>
            <w:shd w:val="clear" w:color="auto" w:fill="CCCCCC"/>
          </w:tcPr>
          <w:p w14:paraId="1D7F92F4" w14:textId="77777777" w:rsidR="005C0213" w:rsidRDefault="005C0213" w:rsidP="00746049">
            <w:pPr>
              <w:pStyle w:val="BodyText"/>
              <w:rPr>
                <w:b/>
              </w:rPr>
            </w:pPr>
            <w:r>
              <w:rPr>
                <w:b/>
              </w:rPr>
              <w:t>Descriptor</w:t>
            </w:r>
          </w:p>
        </w:tc>
      </w:tr>
      <w:tr w:rsidR="002D4E22" w14:paraId="2F483BEC" w14:textId="77777777" w:rsidTr="00746049">
        <w:tc>
          <w:tcPr>
            <w:tcW w:w="4788" w:type="dxa"/>
          </w:tcPr>
          <w:p w14:paraId="128CA05E" w14:textId="1081B806" w:rsidR="002D4E22" w:rsidRDefault="002D4E22" w:rsidP="00746049">
            <w:pPr>
              <w:pStyle w:val="BodyText"/>
              <w:rPr>
                <w:b/>
              </w:rPr>
            </w:pPr>
            <w:r>
              <w:t>Leads the Board</w:t>
            </w:r>
          </w:p>
        </w:tc>
        <w:tc>
          <w:tcPr>
            <w:tcW w:w="4788" w:type="dxa"/>
          </w:tcPr>
          <w:p w14:paraId="37F0E32E" w14:textId="5B7D7241" w:rsidR="002D4E22" w:rsidRDefault="002D4E22" w:rsidP="00746049">
            <w:pPr>
              <w:pStyle w:val="BodyText"/>
              <w:rPr>
                <w:b/>
              </w:rPr>
            </w:pPr>
            <w:r w:rsidRPr="009D4371">
              <w:t xml:space="preserve">Demonstrates leadership; inspires trust and confidence in Board members; creates an inclusive environment; fosters collaborative processes; provides a positive public face to the organisation; demonstrates commitment to organisational values; resolves disputes; fosters development of Board and ensures </w:t>
            </w:r>
            <w:r w:rsidRPr="009D4371">
              <w:lastRenderedPageBreak/>
              <w:t>regular review of Board performance</w:t>
            </w:r>
          </w:p>
        </w:tc>
      </w:tr>
      <w:tr w:rsidR="002D4E22" w14:paraId="499E0EAE" w14:textId="77777777" w:rsidTr="00746049">
        <w:tc>
          <w:tcPr>
            <w:tcW w:w="4788" w:type="dxa"/>
          </w:tcPr>
          <w:p w14:paraId="48463594" w14:textId="4FA5F317" w:rsidR="002D4E22" w:rsidRDefault="002D4E22" w:rsidP="00746049">
            <w:pPr>
              <w:pStyle w:val="BodyText"/>
            </w:pPr>
            <w:r w:rsidRPr="00A352D7">
              <w:lastRenderedPageBreak/>
              <w:t>Establishes a dynamic and produ</w:t>
            </w:r>
            <w:r>
              <w:t>ctive relationship with the CEO</w:t>
            </w:r>
          </w:p>
        </w:tc>
        <w:tc>
          <w:tcPr>
            <w:tcW w:w="4788" w:type="dxa"/>
          </w:tcPr>
          <w:p w14:paraId="48824BAD" w14:textId="2C6B96F1" w:rsidR="002D4E22" w:rsidRPr="009D4371" w:rsidRDefault="002D4E22" w:rsidP="00746049">
            <w:pPr>
              <w:pStyle w:val="BodyText"/>
            </w:pPr>
            <w:r w:rsidRPr="009D4371">
              <w:t>Establishes clarity about the role of Board and role of CEO; delegates management to CEO; encourages trust and regular communication; provides direction to the CEO in line with Board decisions; ensures that the Board engages constructively and honestly with the CEO to evaluate performance against stated objectives</w:t>
            </w:r>
          </w:p>
        </w:tc>
      </w:tr>
      <w:tr w:rsidR="002D4E22" w14:paraId="5F06C35B" w14:textId="77777777" w:rsidTr="00746049">
        <w:tc>
          <w:tcPr>
            <w:tcW w:w="4788" w:type="dxa"/>
          </w:tcPr>
          <w:p w14:paraId="0E63D5B8" w14:textId="218163A2" w:rsidR="002D4E22" w:rsidRPr="00A352D7" w:rsidRDefault="002D4E22" w:rsidP="00746049">
            <w:pPr>
              <w:pStyle w:val="BodyText"/>
            </w:pPr>
            <w:r w:rsidRPr="00A352D7">
              <w:t>Chai</w:t>
            </w:r>
            <w:r>
              <w:t>rs regular and focused meetings</w:t>
            </w:r>
          </w:p>
        </w:tc>
        <w:tc>
          <w:tcPr>
            <w:tcW w:w="4788" w:type="dxa"/>
          </w:tcPr>
          <w:p w14:paraId="270AA91F" w14:textId="7BD81511" w:rsidR="002D4E22" w:rsidRPr="009D4371" w:rsidRDefault="002D4E22" w:rsidP="00746049">
            <w:pPr>
              <w:pStyle w:val="BodyText"/>
            </w:pPr>
            <w:r w:rsidRPr="009D4371">
              <w:t>Adheres to clear agendas and timeframes for discussion, supports and focuses discussion, manages differences of opinion and ensures that clear outcomes are agreed; promotes Board engagement; calls special meetings of the Board or subcommittees as required</w:t>
            </w:r>
          </w:p>
        </w:tc>
      </w:tr>
    </w:tbl>
    <w:p w14:paraId="51F9472C" w14:textId="77777777" w:rsidR="005246EC" w:rsidRDefault="005246EC" w:rsidP="005C0213"/>
    <w:p w14:paraId="7D191404" w14:textId="1913CC4E" w:rsidR="00F509D9" w:rsidRPr="00F509D9" w:rsidRDefault="00F509D9" w:rsidP="00F509D9">
      <w:pPr>
        <w:pStyle w:val="Headingsecondary"/>
      </w:pPr>
      <w:r w:rsidRPr="00F509D9">
        <w:t>Secretary</w:t>
      </w:r>
    </w:p>
    <w:tbl>
      <w:tblPr>
        <w:tblStyle w:val="TableGrid"/>
        <w:tblW w:w="0" w:type="auto"/>
        <w:tblLook w:val="04A0" w:firstRow="1" w:lastRow="0" w:firstColumn="1" w:lastColumn="0" w:noHBand="0" w:noVBand="1"/>
      </w:tblPr>
      <w:tblGrid>
        <w:gridCol w:w="4788"/>
        <w:gridCol w:w="4788"/>
      </w:tblGrid>
      <w:tr w:rsidR="005C0213" w14:paraId="2BBC3BB6" w14:textId="77777777" w:rsidTr="00746049">
        <w:tc>
          <w:tcPr>
            <w:tcW w:w="4788" w:type="dxa"/>
            <w:shd w:val="clear" w:color="auto" w:fill="CCCCCC"/>
          </w:tcPr>
          <w:p w14:paraId="1A240021" w14:textId="77777777" w:rsidR="005C0213" w:rsidRDefault="005C0213" w:rsidP="00746049">
            <w:pPr>
              <w:pStyle w:val="BodyText"/>
              <w:rPr>
                <w:b/>
              </w:rPr>
            </w:pPr>
            <w:r>
              <w:rPr>
                <w:b/>
              </w:rPr>
              <w:t>Capability</w:t>
            </w:r>
          </w:p>
        </w:tc>
        <w:tc>
          <w:tcPr>
            <w:tcW w:w="4788" w:type="dxa"/>
            <w:shd w:val="clear" w:color="auto" w:fill="CCCCCC"/>
          </w:tcPr>
          <w:p w14:paraId="7225B5CC" w14:textId="77777777" w:rsidR="005C0213" w:rsidRDefault="005C0213" w:rsidP="00746049">
            <w:pPr>
              <w:pStyle w:val="BodyText"/>
              <w:rPr>
                <w:b/>
              </w:rPr>
            </w:pPr>
            <w:r>
              <w:rPr>
                <w:b/>
              </w:rPr>
              <w:t>Descriptor</w:t>
            </w:r>
          </w:p>
        </w:tc>
      </w:tr>
      <w:tr w:rsidR="002D4E22" w14:paraId="2DFAAC71" w14:textId="77777777" w:rsidTr="00746049">
        <w:tc>
          <w:tcPr>
            <w:tcW w:w="4788" w:type="dxa"/>
          </w:tcPr>
          <w:p w14:paraId="6F4B7E78" w14:textId="56FC7DAC" w:rsidR="002D4E22" w:rsidRDefault="002D4E22" w:rsidP="002D4E22">
            <w:pPr>
              <w:pStyle w:val="BodyText"/>
              <w:rPr>
                <w:b/>
              </w:rPr>
            </w:pPr>
            <w:r w:rsidRPr="00A352D7">
              <w:t>Meets reporting requireme</w:t>
            </w:r>
            <w:r>
              <w:t>nts</w:t>
            </w:r>
          </w:p>
        </w:tc>
        <w:tc>
          <w:tcPr>
            <w:tcW w:w="4788" w:type="dxa"/>
          </w:tcPr>
          <w:p w14:paraId="3E3FBB21" w14:textId="2F6E23B3" w:rsidR="002D4E22" w:rsidRDefault="002D4E22" w:rsidP="002D4E22">
            <w:pPr>
              <w:pStyle w:val="BodyText"/>
              <w:rPr>
                <w:b/>
              </w:rPr>
            </w:pPr>
            <w:r w:rsidRPr="009D4371">
              <w:t>Oversees the timely and accurate preparation and lodging of statements to meet compliance reporting requirements</w:t>
            </w:r>
          </w:p>
        </w:tc>
      </w:tr>
      <w:tr w:rsidR="002D4E22" w14:paraId="0B1989EA" w14:textId="77777777" w:rsidTr="00746049">
        <w:tc>
          <w:tcPr>
            <w:tcW w:w="4788" w:type="dxa"/>
          </w:tcPr>
          <w:p w14:paraId="56F38998" w14:textId="6DCC97B8" w:rsidR="002D4E22" w:rsidRPr="00A352D7" w:rsidRDefault="002D4E22" w:rsidP="002D4E22">
            <w:pPr>
              <w:pStyle w:val="BodyText"/>
            </w:pPr>
            <w:r w:rsidRPr="00A352D7">
              <w:t>Develops agend</w:t>
            </w:r>
            <w:r>
              <w:t>a and minutes of Board meetings</w:t>
            </w:r>
          </w:p>
        </w:tc>
        <w:tc>
          <w:tcPr>
            <w:tcW w:w="4788" w:type="dxa"/>
          </w:tcPr>
          <w:p w14:paraId="57F27258" w14:textId="5CE55325" w:rsidR="002D4E22" w:rsidRPr="009D4371" w:rsidRDefault="002D4E22" w:rsidP="002D4E22">
            <w:pPr>
              <w:pStyle w:val="BodyText"/>
            </w:pPr>
            <w:r w:rsidRPr="009D4371">
              <w:t>Consults the Chair and other relevant people to develop agenda; circulates agenda and meeting papers prior to meetings; creates minutes that are timely, true and accurate</w:t>
            </w:r>
          </w:p>
        </w:tc>
      </w:tr>
      <w:tr w:rsidR="002D4E22" w14:paraId="2B53D2B4" w14:textId="77777777" w:rsidTr="00746049">
        <w:tc>
          <w:tcPr>
            <w:tcW w:w="4788" w:type="dxa"/>
          </w:tcPr>
          <w:p w14:paraId="0881490C" w14:textId="49C70FF8" w:rsidR="002D4E22" w:rsidRPr="00A352D7" w:rsidRDefault="002D4E22" w:rsidP="002D4E22">
            <w:pPr>
              <w:pStyle w:val="BodyText"/>
            </w:pPr>
            <w:r w:rsidRPr="00A352D7">
              <w:t>Handles correspondence and records</w:t>
            </w:r>
          </w:p>
        </w:tc>
        <w:tc>
          <w:tcPr>
            <w:tcW w:w="4788" w:type="dxa"/>
          </w:tcPr>
          <w:p w14:paraId="62DBF506" w14:textId="74BC68FE" w:rsidR="002D4E22" w:rsidRPr="009D4371" w:rsidRDefault="002D4E22" w:rsidP="002D4E22">
            <w:pPr>
              <w:pStyle w:val="BodyText"/>
            </w:pPr>
            <w:r w:rsidRPr="009D4371">
              <w:rPr>
                <w:spacing w:val="2"/>
              </w:rPr>
              <w:t>Maintains membership records and ensures all necessary records are accessible for reports, elections and other votes; deals with correspondence and disseminates information promptly</w:t>
            </w:r>
          </w:p>
        </w:tc>
      </w:tr>
    </w:tbl>
    <w:p w14:paraId="4621C873" w14:textId="77777777" w:rsidR="00F509D9" w:rsidRDefault="00F509D9" w:rsidP="002D4E22"/>
    <w:p w14:paraId="27918EB9" w14:textId="161D2680" w:rsidR="00F509D9" w:rsidRDefault="00F509D9" w:rsidP="00F509D9">
      <w:pPr>
        <w:pStyle w:val="Headingsecondary"/>
      </w:pPr>
      <w:r w:rsidRPr="00F509D9">
        <w:t>Treasurer</w:t>
      </w:r>
    </w:p>
    <w:tbl>
      <w:tblPr>
        <w:tblStyle w:val="TableGrid"/>
        <w:tblW w:w="0" w:type="auto"/>
        <w:tblLook w:val="04A0" w:firstRow="1" w:lastRow="0" w:firstColumn="1" w:lastColumn="0" w:noHBand="0" w:noVBand="1"/>
      </w:tblPr>
      <w:tblGrid>
        <w:gridCol w:w="4788"/>
        <w:gridCol w:w="4788"/>
      </w:tblGrid>
      <w:tr w:rsidR="005C0213" w14:paraId="37109AEE" w14:textId="77777777" w:rsidTr="00746049">
        <w:tc>
          <w:tcPr>
            <w:tcW w:w="4788" w:type="dxa"/>
            <w:shd w:val="clear" w:color="auto" w:fill="CCCCCC"/>
          </w:tcPr>
          <w:p w14:paraId="5EFC5651" w14:textId="77777777" w:rsidR="005C0213" w:rsidRDefault="005C0213" w:rsidP="00746049">
            <w:pPr>
              <w:pStyle w:val="BodyText"/>
              <w:rPr>
                <w:b/>
              </w:rPr>
            </w:pPr>
            <w:r>
              <w:rPr>
                <w:b/>
              </w:rPr>
              <w:t>Capability</w:t>
            </w:r>
          </w:p>
        </w:tc>
        <w:tc>
          <w:tcPr>
            <w:tcW w:w="4788" w:type="dxa"/>
            <w:shd w:val="clear" w:color="auto" w:fill="CCCCCC"/>
          </w:tcPr>
          <w:p w14:paraId="11885AD0" w14:textId="77777777" w:rsidR="005C0213" w:rsidRDefault="005C0213" w:rsidP="00746049">
            <w:pPr>
              <w:pStyle w:val="BodyText"/>
              <w:rPr>
                <w:b/>
              </w:rPr>
            </w:pPr>
            <w:r>
              <w:rPr>
                <w:b/>
              </w:rPr>
              <w:t>Descriptor</w:t>
            </w:r>
          </w:p>
        </w:tc>
      </w:tr>
      <w:tr w:rsidR="002D4E22" w14:paraId="11673B90" w14:textId="77777777" w:rsidTr="00746049">
        <w:tc>
          <w:tcPr>
            <w:tcW w:w="4788" w:type="dxa"/>
          </w:tcPr>
          <w:p w14:paraId="13146D3D" w14:textId="4B289D80" w:rsidR="002D4E22" w:rsidRDefault="002D4E22" w:rsidP="00746049">
            <w:pPr>
              <w:pStyle w:val="BodyText"/>
              <w:rPr>
                <w:b/>
              </w:rPr>
            </w:pPr>
            <w:r w:rsidRPr="00A352D7">
              <w:t>Ensures solven</w:t>
            </w:r>
            <w:r>
              <w:t>cy and financial sustainability</w:t>
            </w:r>
          </w:p>
        </w:tc>
        <w:tc>
          <w:tcPr>
            <w:tcW w:w="4788" w:type="dxa"/>
          </w:tcPr>
          <w:p w14:paraId="11AF694C" w14:textId="702F1AC7" w:rsidR="002D4E22" w:rsidRDefault="002D4E22" w:rsidP="00746049">
            <w:pPr>
              <w:pStyle w:val="BodyText"/>
              <w:rPr>
                <w:b/>
              </w:rPr>
            </w:pPr>
            <w:r w:rsidRPr="009D4371">
              <w:t xml:space="preserve">Monitors financial position, including cash flow and estimates of future financial performance; oversees financial systems, and takes appropriate actions to ensure that the organisation has necessary resources to meet </w:t>
            </w:r>
            <w:r w:rsidRPr="009D4371">
              <w:lastRenderedPageBreak/>
              <w:t>its obligations</w:t>
            </w:r>
          </w:p>
        </w:tc>
      </w:tr>
      <w:tr w:rsidR="002D4E22" w14:paraId="4C21D4C2" w14:textId="77777777" w:rsidTr="00746049">
        <w:tc>
          <w:tcPr>
            <w:tcW w:w="4788" w:type="dxa"/>
          </w:tcPr>
          <w:p w14:paraId="4AE903D9" w14:textId="48EBFD34" w:rsidR="002D4E22" w:rsidRPr="00A352D7" w:rsidRDefault="002D4E22" w:rsidP="00746049">
            <w:pPr>
              <w:pStyle w:val="BodyText"/>
            </w:pPr>
            <w:r>
              <w:lastRenderedPageBreak/>
              <w:t>Manages financial risk</w:t>
            </w:r>
          </w:p>
        </w:tc>
        <w:tc>
          <w:tcPr>
            <w:tcW w:w="4788" w:type="dxa"/>
          </w:tcPr>
          <w:p w14:paraId="68457837" w14:textId="205D8EDB" w:rsidR="002D4E22" w:rsidRPr="009D4371" w:rsidRDefault="002D4E22" w:rsidP="00746049">
            <w:pPr>
              <w:pStyle w:val="BodyText"/>
            </w:pPr>
            <w:r w:rsidRPr="009D4371">
              <w:t>Monitors financial systems to identify errors and discrepancies; ensures that the finances are protected against theft and criminal activities; arranges regular audits and supports the audit process</w:t>
            </w:r>
          </w:p>
        </w:tc>
      </w:tr>
      <w:tr w:rsidR="002D4E22" w14:paraId="16256ABA" w14:textId="77777777" w:rsidTr="00746049">
        <w:tc>
          <w:tcPr>
            <w:tcW w:w="4788" w:type="dxa"/>
          </w:tcPr>
          <w:p w14:paraId="5554CB4B" w14:textId="347C11D3" w:rsidR="002D4E22" w:rsidRDefault="002D4E22" w:rsidP="00746049">
            <w:pPr>
              <w:pStyle w:val="BodyText"/>
            </w:pPr>
            <w:r>
              <w:t>Controls finances</w:t>
            </w:r>
          </w:p>
        </w:tc>
        <w:tc>
          <w:tcPr>
            <w:tcW w:w="4788" w:type="dxa"/>
          </w:tcPr>
          <w:p w14:paraId="3107DFE7" w14:textId="16C4A498" w:rsidR="002D4E22" w:rsidRPr="009D4371" w:rsidRDefault="002D4E22" w:rsidP="00746049">
            <w:pPr>
              <w:pStyle w:val="BodyText"/>
            </w:pPr>
            <w:r w:rsidRPr="009D4371">
              <w:t>Ensures budget and expenditure reflect strategic intent of Board; assists in the preparation of the budget and presents it to the Board for approval; establishes financial processes and delegations; oversees all financial transactions and signs cheques within limits of authority</w:t>
            </w:r>
          </w:p>
        </w:tc>
      </w:tr>
    </w:tbl>
    <w:p w14:paraId="04B64186" w14:textId="77777777" w:rsidR="005C0213" w:rsidRPr="005C0213" w:rsidRDefault="005C0213" w:rsidP="005C0213">
      <w:pPr>
        <w:pStyle w:val="Headingsecondary"/>
      </w:pPr>
    </w:p>
    <w:sectPr w:rsidR="005C0213" w:rsidRPr="005C0213" w:rsidSect="00617E01">
      <w:headerReference w:type="even" r:id="rId8"/>
      <w:headerReference w:type="default" r:id="rId9"/>
      <w:footerReference w:type="default" r:id="rId10"/>
      <w:head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EA68" w14:textId="77777777" w:rsidR="0056626C" w:rsidRDefault="0056626C" w:rsidP="0056626C">
    <w:pPr>
      <w:pStyle w:val="Footer"/>
      <w:jc w:val="right"/>
      <w:rPr>
        <w:rFonts w:cs="Arial"/>
      </w:rPr>
    </w:pPr>
  </w:p>
  <w:p w14:paraId="0AE892D1" w14:textId="77777777" w:rsidR="0056626C" w:rsidRDefault="0056626C" w:rsidP="0056626C">
    <w:pPr>
      <w:pStyle w:val="Footer"/>
      <w:jc w:val="right"/>
      <w:rPr>
        <w:rFonts w:cs="Arial"/>
      </w:rPr>
    </w:pPr>
    <w:r>
      <w:rPr>
        <w:b/>
        <w:noProof/>
        <w:color w:val="000080"/>
        <w:sz w:val="20"/>
        <w:lang w:eastAsia="en-AU"/>
      </w:rPr>
      <w:drawing>
        <wp:anchor distT="0" distB="0" distL="114300" distR="114300" simplePos="0" relativeHeight="251667456" behindDoc="0" locked="0" layoutInCell="1" allowOverlap="1" wp14:anchorId="7184BAF8" wp14:editId="0C05B0E9">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17551925" w14:textId="351D972E" w:rsidR="0056626C" w:rsidRDefault="00AD0415" w:rsidP="0056626C">
    <w:pPr>
      <w:pStyle w:val="Footer"/>
      <w:jc w:val="right"/>
      <w:rPr>
        <w:rFonts w:cs="Arial"/>
        <w:snapToGrid w:val="0"/>
        <w:sz w:val="16"/>
        <w:szCs w:val="16"/>
      </w:rPr>
    </w:pPr>
    <w:r>
      <w:rPr>
        <w:rFonts w:cs="Arial"/>
        <w:sz w:val="16"/>
        <w:szCs w:val="16"/>
      </w:rPr>
      <w:t>Review of Board Member Capabilities</w:t>
    </w:r>
    <w:r w:rsidR="0056626C" w:rsidRPr="00535DC0">
      <w:rPr>
        <w:rFonts w:cs="Arial"/>
        <w:sz w:val="16"/>
        <w:szCs w:val="16"/>
      </w:rPr>
      <w:t xml:space="preserve"> Template</w:t>
    </w:r>
  </w:p>
  <w:p w14:paraId="36B26347" w14:textId="77777777" w:rsidR="0056626C" w:rsidRDefault="0056626C" w:rsidP="0056626C">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49225610" w:rsidR="00E86632" w:rsidRPr="0056626C" w:rsidRDefault="0056626C" w:rsidP="0056626C">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E265FD">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E265FD">
      <w:rPr>
        <w:rFonts w:cs="Arial"/>
        <w:noProof/>
        <w:snapToGrid w:val="0"/>
        <w:sz w:val="16"/>
        <w:szCs w:val="16"/>
      </w:rPr>
      <w:t>6</w:t>
    </w:r>
    <w:r w:rsidRPr="00535DC0">
      <w:rPr>
        <w:rFonts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075A" w14:textId="33F68920" w:rsidR="00C37DB3" w:rsidRDefault="00E265FD">
    <w:pPr>
      <w:pStyle w:val="Header"/>
    </w:pPr>
    <w:r>
      <w:rPr>
        <w:noProof/>
        <w:lang w:val="en-US"/>
      </w:rPr>
      <w:pict w14:anchorId="13300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2734" w14:textId="253E963F" w:rsidR="00C37DB3" w:rsidRDefault="00E265FD">
    <w:pPr>
      <w:pStyle w:val="Header"/>
    </w:pPr>
    <w:r>
      <w:rPr>
        <w:noProof/>
        <w:lang w:val="en-US"/>
      </w:rPr>
      <w:pict w14:anchorId="789C7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2570" w14:textId="1F577051" w:rsidR="00C37DB3" w:rsidRDefault="00E265FD">
    <w:pPr>
      <w:pStyle w:val="Header"/>
    </w:pPr>
    <w:r>
      <w:rPr>
        <w:noProof/>
        <w:lang w:val="en-US"/>
      </w:rPr>
      <w:pict w14:anchorId="12213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1078F1"/>
    <w:rsid w:val="001B218F"/>
    <w:rsid w:val="001C3738"/>
    <w:rsid w:val="00203311"/>
    <w:rsid w:val="00275F6F"/>
    <w:rsid w:val="002D4E22"/>
    <w:rsid w:val="00367F70"/>
    <w:rsid w:val="003C7517"/>
    <w:rsid w:val="003E43F8"/>
    <w:rsid w:val="003F0DF9"/>
    <w:rsid w:val="003F7589"/>
    <w:rsid w:val="005246EC"/>
    <w:rsid w:val="0053029C"/>
    <w:rsid w:val="00536D64"/>
    <w:rsid w:val="0056626C"/>
    <w:rsid w:val="005C0213"/>
    <w:rsid w:val="005C2A7A"/>
    <w:rsid w:val="005E41CF"/>
    <w:rsid w:val="00613DC0"/>
    <w:rsid w:val="00621121"/>
    <w:rsid w:val="006360EE"/>
    <w:rsid w:val="00671592"/>
    <w:rsid w:val="006A205F"/>
    <w:rsid w:val="006D20E0"/>
    <w:rsid w:val="00722E2C"/>
    <w:rsid w:val="00734FD9"/>
    <w:rsid w:val="007405ED"/>
    <w:rsid w:val="007600C0"/>
    <w:rsid w:val="007D607C"/>
    <w:rsid w:val="00800666"/>
    <w:rsid w:val="008173AB"/>
    <w:rsid w:val="00865548"/>
    <w:rsid w:val="00880D1C"/>
    <w:rsid w:val="008D2C54"/>
    <w:rsid w:val="008E7AC1"/>
    <w:rsid w:val="00900A3D"/>
    <w:rsid w:val="009544AA"/>
    <w:rsid w:val="009D0E41"/>
    <w:rsid w:val="009E5A1A"/>
    <w:rsid w:val="00AD0415"/>
    <w:rsid w:val="00B7775C"/>
    <w:rsid w:val="00BF4B55"/>
    <w:rsid w:val="00C106BA"/>
    <w:rsid w:val="00C27A39"/>
    <w:rsid w:val="00C37DB3"/>
    <w:rsid w:val="00C948F9"/>
    <w:rsid w:val="00CC1A83"/>
    <w:rsid w:val="00D2435D"/>
    <w:rsid w:val="00D36CF9"/>
    <w:rsid w:val="00D730AB"/>
    <w:rsid w:val="00D7683F"/>
    <w:rsid w:val="00E05075"/>
    <w:rsid w:val="00E265FD"/>
    <w:rsid w:val="00E30628"/>
    <w:rsid w:val="00E86632"/>
    <w:rsid w:val="00E95162"/>
    <w:rsid w:val="00F02FE9"/>
    <w:rsid w:val="00F509D9"/>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15C075A2-8952-4A9C-9A73-704863C2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 w:type="paragraph" w:customStyle="1" w:styleId="DHHSTableCaption">
    <w:name w:val="DHHS Table Caption"/>
    <w:uiPriority w:val="3"/>
    <w:qFormat/>
    <w:rsid w:val="00865548"/>
    <w:pPr>
      <w:keepNext/>
      <w:keepLines/>
      <w:spacing w:before="240" w:after="120" w:line="270" w:lineRule="exact"/>
    </w:pPr>
    <w:rPr>
      <w:rFonts w:ascii="Arial" w:eastAsia="Times New Roman" w:hAnsi="Arial" w:cs="Times New Roman"/>
      <w:b/>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Board Member Capabilities Template</dc:title>
  <dc:subject>Running your SSO</dc:subject>
  <dc:creator>Ian Fullagar</dc:creator>
  <cp:keywords/>
  <dc:description/>
  <cp:lastModifiedBy>Jennifer Anderson</cp:lastModifiedBy>
  <cp:revision>20</cp:revision>
  <cp:lastPrinted>2018-04-09T04:43:00Z</cp:lastPrinted>
  <dcterms:created xsi:type="dcterms:W3CDTF">2018-03-25T10:54:00Z</dcterms:created>
  <dcterms:modified xsi:type="dcterms:W3CDTF">2018-05-09T05:43:00Z</dcterms:modified>
</cp:coreProperties>
</file>